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83BD" w14:textId="468DC817" w:rsidR="003D3D14" w:rsidRDefault="00E37A98">
      <w:pPr>
        <w:rPr>
          <w:b/>
          <w:bCs/>
          <w:i/>
          <w:iCs/>
        </w:rPr>
      </w:pPr>
      <w:r>
        <w:t xml:space="preserve">                                                                     </w:t>
      </w:r>
      <w:r>
        <w:rPr>
          <w:b/>
          <w:bCs/>
          <w:i/>
          <w:iCs/>
        </w:rPr>
        <w:t>Law and Popular Culture</w:t>
      </w:r>
    </w:p>
    <w:p w14:paraId="484200D2" w14:textId="63C42236" w:rsidR="00E37A98" w:rsidRDefault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Syllabus –</w:t>
      </w:r>
      <w:r w:rsidR="00F73BF9">
        <w:rPr>
          <w:b/>
          <w:bCs/>
          <w:i/>
          <w:iCs/>
        </w:rPr>
        <w:t xml:space="preserve"> Fall </w:t>
      </w:r>
      <w:r>
        <w:rPr>
          <w:b/>
          <w:bCs/>
          <w:i/>
          <w:iCs/>
        </w:rPr>
        <w:t>2020</w:t>
      </w:r>
    </w:p>
    <w:p w14:paraId="1711C2C7" w14:textId="482202FD" w:rsidR="00E37A98" w:rsidRDefault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Prof. Meyer</w:t>
      </w:r>
    </w:p>
    <w:p w14:paraId="5BD97235" w14:textId="3FFF5457" w:rsidR="00E37A98" w:rsidRDefault="00E37A98">
      <w:pPr>
        <w:rPr>
          <w:b/>
          <w:bCs/>
          <w:i/>
          <w:iCs/>
        </w:rPr>
      </w:pPr>
    </w:p>
    <w:p w14:paraId="6B2E271E" w14:textId="4B484AE7" w:rsidR="00D24CF5" w:rsidRDefault="00D24CF5">
      <w:pPr>
        <w:rPr>
          <w:b/>
          <w:bCs/>
          <w:i/>
          <w:iCs/>
        </w:rPr>
      </w:pPr>
      <w:r>
        <w:rPr>
          <w:b/>
          <w:bCs/>
          <w:i/>
          <w:iCs/>
        </w:rPr>
        <w:t>Prof. Philip Meyer</w:t>
      </w:r>
      <w:bookmarkStart w:id="0" w:name="_GoBack"/>
      <w:bookmarkEnd w:id="0"/>
    </w:p>
    <w:p w14:paraId="4140D853" w14:textId="785D16DD" w:rsidR="00D24CF5" w:rsidRDefault="00D24C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Email: </w:t>
      </w:r>
      <w:hyperlink r:id="rId5" w:history="1">
        <w:r w:rsidRPr="00C70890">
          <w:rPr>
            <w:rStyle w:val="Hyperlink"/>
            <w:b/>
            <w:bCs/>
            <w:i/>
            <w:iCs/>
          </w:rPr>
          <w:t>pmeyer6104@aol.com</w:t>
        </w:r>
      </w:hyperlink>
      <w:r>
        <w:rPr>
          <w:b/>
          <w:bCs/>
          <w:i/>
          <w:iCs/>
        </w:rPr>
        <w:t xml:space="preserve"> and </w:t>
      </w:r>
      <w:hyperlink r:id="rId6" w:history="1">
        <w:r w:rsidRPr="00C70890">
          <w:rPr>
            <w:rStyle w:val="Hyperlink"/>
            <w:b/>
            <w:bCs/>
            <w:i/>
            <w:iCs/>
          </w:rPr>
          <w:t>pmeyer@vermontlaw.edu</w:t>
        </w:r>
      </w:hyperlink>
    </w:p>
    <w:p w14:paraId="7220F657" w14:textId="7DAA537C" w:rsidR="00D24CF5" w:rsidRDefault="00D24C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Faculty support:  Brenda Caron – </w:t>
      </w:r>
      <w:hyperlink r:id="rId7" w:history="1">
        <w:r w:rsidRPr="00C70890">
          <w:rPr>
            <w:rStyle w:val="Hyperlink"/>
            <w:b/>
            <w:bCs/>
            <w:i/>
            <w:iCs/>
          </w:rPr>
          <w:t>bcaron@vermontlaw.edu</w:t>
        </w:r>
      </w:hyperlink>
      <w:r>
        <w:rPr>
          <w:b/>
          <w:bCs/>
          <w:i/>
          <w:iCs/>
        </w:rPr>
        <w:t xml:space="preserve"> </w:t>
      </w:r>
    </w:p>
    <w:p w14:paraId="0A51A8FF" w14:textId="2B94596E" w:rsidR="00D24CF5" w:rsidRDefault="00D24C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Teaching assistant: Lena Capps – </w:t>
      </w:r>
      <w:hyperlink r:id="rId8" w:history="1">
        <w:r w:rsidR="00B84C42" w:rsidRPr="00C70890">
          <w:rPr>
            <w:rStyle w:val="Hyperlink"/>
            <w:b/>
            <w:bCs/>
            <w:i/>
            <w:iCs/>
          </w:rPr>
          <w:t>lenacapps@vermontlaw.edu</w:t>
        </w:r>
      </w:hyperlink>
      <w:r>
        <w:rPr>
          <w:b/>
          <w:bCs/>
          <w:i/>
          <w:iCs/>
        </w:rPr>
        <w:t xml:space="preserve"> </w:t>
      </w:r>
    </w:p>
    <w:p w14:paraId="6C83216E" w14:textId="77777777" w:rsidR="00D24CF5" w:rsidRDefault="00D24CF5">
      <w:pPr>
        <w:rPr>
          <w:b/>
          <w:bCs/>
          <w:i/>
          <w:iCs/>
        </w:rPr>
      </w:pPr>
    </w:p>
    <w:p w14:paraId="39BAA9A0" w14:textId="00943C2F" w:rsidR="00E37A98" w:rsidRDefault="00E37A98">
      <w:pPr>
        <w:rPr>
          <w:b/>
          <w:bCs/>
          <w:i/>
          <w:iCs/>
        </w:rPr>
      </w:pPr>
      <w:r>
        <w:rPr>
          <w:b/>
          <w:bCs/>
          <w:i/>
          <w:iCs/>
        </w:rPr>
        <w:t>Texts:</w:t>
      </w:r>
    </w:p>
    <w:p w14:paraId="51D59963" w14:textId="0A6A3B4B" w:rsidR="00E37A98" w:rsidRDefault="00E37A98">
      <w:pPr>
        <w:rPr>
          <w:b/>
          <w:bCs/>
          <w:i/>
          <w:iCs/>
        </w:rPr>
      </w:pPr>
    </w:p>
    <w:p w14:paraId="28716066" w14:textId="32333FDF" w:rsidR="00E37A98" w:rsidRDefault="00E37A98" w:rsidP="00E37A9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 Movies: Listed in Syllabus</w:t>
      </w:r>
    </w:p>
    <w:p w14:paraId="73262D51" w14:textId="39AE2BB9" w:rsidR="00E37A98" w:rsidRDefault="00E37A98" w:rsidP="00E37A9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Law and P</w:t>
      </w:r>
      <w:r w:rsidR="000B0A6D">
        <w:rPr>
          <w:b/>
          <w:bCs/>
          <w:i/>
          <w:iCs/>
        </w:rPr>
        <w:t>o</w:t>
      </w:r>
      <w:r>
        <w:rPr>
          <w:b/>
          <w:bCs/>
          <w:i/>
          <w:iCs/>
        </w:rPr>
        <w:t>pular Culture: Text, Notes and Questions (Second Edition) (2012)</w:t>
      </w:r>
    </w:p>
    <w:p w14:paraId="45189FB7" w14:textId="520A2EF0" w:rsidR="00E37A98" w:rsidRDefault="00E37A98" w:rsidP="00E37A98">
      <w:pPr>
        <w:rPr>
          <w:b/>
          <w:bCs/>
          <w:i/>
          <w:iCs/>
        </w:rPr>
      </w:pPr>
    </w:p>
    <w:p w14:paraId="6BB78CA5" w14:textId="3D9D297A" w:rsidR="00E37A98" w:rsidRDefault="00E37A98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Each week participants will watch one movie and discuss one chapter of the text.  </w:t>
      </w:r>
      <w:r w:rsidR="00F85905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fter the initial Introductory </w:t>
      </w:r>
      <w:r w:rsidR="00F85905">
        <w:rPr>
          <w:b/>
          <w:bCs/>
          <w:i/>
          <w:iCs/>
        </w:rPr>
        <w:t xml:space="preserve">organizational </w:t>
      </w:r>
      <w:r>
        <w:rPr>
          <w:b/>
          <w:bCs/>
          <w:i/>
          <w:iCs/>
        </w:rPr>
        <w:t xml:space="preserve">session, one or two </w:t>
      </w:r>
      <w:r w:rsidR="00F85905">
        <w:rPr>
          <w:b/>
          <w:bCs/>
          <w:i/>
          <w:iCs/>
        </w:rPr>
        <w:t xml:space="preserve">seminar </w:t>
      </w:r>
      <w:r>
        <w:rPr>
          <w:b/>
          <w:bCs/>
          <w:i/>
          <w:iCs/>
        </w:rPr>
        <w:t>participants will be assigned to prepare and lead discussion</w:t>
      </w:r>
      <w:r w:rsidR="00F85905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of the assigned movies and corresponding chapter</w:t>
      </w:r>
      <w:r w:rsidR="00BC4307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of the </w:t>
      </w:r>
      <w:r w:rsidR="00BC4307">
        <w:rPr>
          <w:b/>
          <w:bCs/>
          <w:i/>
          <w:iCs/>
        </w:rPr>
        <w:t xml:space="preserve">assigned </w:t>
      </w:r>
      <w:r>
        <w:rPr>
          <w:b/>
          <w:bCs/>
          <w:i/>
          <w:iCs/>
        </w:rPr>
        <w:t>text.</w:t>
      </w:r>
      <w:r w:rsidR="00F85905">
        <w:rPr>
          <w:b/>
          <w:bCs/>
          <w:i/>
          <w:iCs/>
        </w:rPr>
        <w:t xml:space="preserve">  The instructor will also contribute and lead discussions incorporating perspectives on storytelling practice in law and </w:t>
      </w:r>
      <w:r w:rsidR="007652F9">
        <w:rPr>
          <w:b/>
          <w:bCs/>
          <w:i/>
          <w:iCs/>
        </w:rPr>
        <w:t>popular culture</w:t>
      </w:r>
      <w:r w:rsidR="00F85905">
        <w:rPr>
          <w:b/>
          <w:bCs/>
          <w:i/>
          <w:iCs/>
        </w:rPr>
        <w:t>.</w:t>
      </w:r>
    </w:p>
    <w:p w14:paraId="5388336A" w14:textId="2B2947C5" w:rsidR="00E37A98" w:rsidRDefault="00E37A98" w:rsidP="00E37A98">
      <w:pPr>
        <w:rPr>
          <w:b/>
          <w:bCs/>
          <w:i/>
          <w:iCs/>
        </w:rPr>
      </w:pPr>
    </w:p>
    <w:p w14:paraId="69B322D6" w14:textId="72DCD4F0" w:rsidR="00E37A98" w:rsidRDefault="00E37A98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In addition to leading classes and participating in classes, all students will write either an essay or </w:t>
      </w:r>
      <w:r w:rsidR="00BC4307">
        <w:rPr>
          <w:b/>
          <w:bCs/>
          <w:i/>
          <w:iCs/>
        </w:rPr>
        <w:t xml:space="preserve">a </w:t>
      </w:r>
      <w:r>
        <w:rPr>
          <w:b/>
          <w:bCs/>
          <w:i/>
          <w:iCs/>
        </w:rPr>
        <w:t xml:space="preserve">research paper based upon materials in the course </w:t>
      </w:r>
      <w:r w:rsidR="00BC4307">
        <w:rPr>
          <w:b/>
          <w:bCs/>
          <w:i/>
          <w:iCs/>
        </w:rPr>
        <w:t>(</w:t>
      </w:r>
      <w:r>
        <w:rPr>
          <w:b/>
          <w:bCs/>
          <w:i/>
          <w:iCs/>
        </w:rPr>
        <w:t>or upon other law and popular culture topics</w:t>
      </w:r>
      <w:r w:rsidR="00BC4307">
        <w:rPr>
          <w:b/>
          <w:bCs/>
          <w:i/>
          <w:iCs/>
        </w:rPr>
        <w:t>)</w:t>
      </w:r>
      <w:r>
        <w:rPr>
          <w:b/>
          <w:bCs/>
          <w:i/>
          <w:iCs/>
        </w:rPr>
        <w:t>.  I anticipate that the papers will be app. 1</w:t>
      </w:r>
      <w:r w:rsidR="00B84C42">
        <w:rPr>
          <w:b/>
          <w:bCs/>
          <w:i/>
          <w:iCs/>
        </w:rPr>
        <w:t>0</w:t>
      </w:r>
      <w:r>
        <w:rPr>
          <w:b/>
          <w:bCs/>
          <w:i/>
          <w:iCs/>
        </w:rPr>
        <w:t xml:space="preserve">-15 pages written on topics of interest to seminar participants.  Grades will be based upon classroom participation and the </w:t>
      </w:r>
      <w:r w:rsidR="00BC4307">
        <w:rPr>
          <w:b/>
          <w:bCs/>
          <w:i/>
          <w:iCs/>
        </w:rPr>
        <w:t xml:space="preserve">final </w:t>
      </w:r>
      <w:r>
        <w:rPr>
          <w:b/>
          <w:bCs/>
          <w:i/>
          <w:iCs/>
        </w:rPr>
        <w:t>paper.</w:t>
      </w:r>
    </w:p>
    <w:p w14:paraId="17BFA168" w14:textId="2D9FC07D" w:rsidR="00BC4307" w:rsidRDefault="00BC4307" w:rsidP="00E37A98">
      <w:pPr>
        <w:rPr>
          <w:b/>
          <w:bCs/>
          <w:i/>
          <w:iCs/>
        </w:rPr>
      </w:pPr>
    </w:p>
    <w:p w14:paraId="64A84D9B" w14:textId="21A7FF72" w:rsidR="00BC4307" w:rsidRDefault="00BC4307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This course will be taught as a “virtual” seminar on a “ZOOM” platform.  I will send a “link” in a ZOOM invitation in the week before the start of classes.  Please download the free application at ZOOM.US prior to our first class.  </w:t>
      </w:r>
      <w:r w:rsidR="00DE5F91">
        <w:rPr>
          <w:b/>
          <w:bCs/>
          <w:i/>
          <w:iCs/>
        </w:rPr>
        <w:t>If you do not receive an invitation please contact Prof. Meyer (</w:t>
      </w:r>
      <w:hyperlink r:id="rId9" w:history="1">
        <w:r w:rsidR="00DE5F91" w:rsidRPr="00C70890">
          <w:rPr>
            <w:rStyle w:val="Hyperlink"/>
            <w:b/>
            <w:bCs/>
            <w:i/>
            <w:iCs/>
          </w:rPr>
          <w:t>pmeyer@vermontlaw.edu</w:t>
        </w:r>
      </w:hyperlink>
      <w:r w:rsidR="00DE5F91">
        <w:rPr>
          <w:b/>
          <w:bCs/>
          <w:i/>
          <w:iCs/>
        </w:rPr>
        <w:t xml:space="preserve"> ) and Lena Capps (</w:t>
      </w:r>
      <w:hyperlink r:id="rId10" w:history="1">
        <w:r w:rsidR="00DE5F91" w:rsidRPr="00C70890">
          <w:rPr>
            <w:rStyle w:val="Hyperlink"/>
            <w:b/>
            <w:bCs/>
            <w:i/>
            <w:iCs/>
          </w:rPr>
          <w:t>lenacapps@vermontlaw.edu</w:t>
        </w:r>
      </w:hyperlink>
      <w:r w:rsidR="00DE5F91">
        <w:rPr>
          <w:b/>
          <w:bCs/>
          <w:i/>
          <w:iCs/>
        </w:rPr>
        <w:t xml:space="preserve"> ). </w:t>
      </w:r>
    </w:p>
    <w:p w14:paraId="72191A45" w14:textId="4811C3E0" w:rsidR="00F85905" w:rsidRDefault="00F85905" w:rsidP="00E37A98">
      <w:pPr>
        <w:rPr>
          <w:b/>
          <w:bCs/>
          <w:i/>
          <w:iCs/>
        </w:rPr>
      </w:pPr>
    </w:p>
    <w:p w14:paraId="6C94371F" w14:textId="44D8E9E9" w:rsidR="00F85905" w:rsidRDefault="00F85905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Course objectives:</w:t>
      </w:r>
    </w:p>
    <w:p w14:paraId="50926C7B" w14:textId="1C58868C" w:rsidR="00F85905" w:rsidRDefault="00F85905" w:rsidP="00E37A98">
      <w:pPr>
        <w:rPr>
          <w:b/>
          <w:bCs/>
          <w:i/>
          <w:iCs/>
        </w:rPr>
      </w:pPr>
    </w:p>
    <w:p w14:paraId="0B2E76DD" w14:textId="0E4BBFF7" w:rsidR="00F85905" w:rsidRDefault="00F85905" w:rsidP="00F8590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Provide an opportunity to view and discuss great movies about legal subjects.</w:t>
      </w:r>
    </w:p>
    <w:p w14:paraId="56260A16" w14:textId="629E6DED" w:rsidR="00F85905" w:rsidRDefault="00F85905" w:rsidP="00F8590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Analyze and explore relationships between popular culture and law practice.</w:t>
      </w:r>
    </w:p>
    <w:p w14:paraId="60A3A929" w14:textId="778869B4" w:rsidR="00F85905" w:rsidRPr="00F85905" w:rsidRDefault="00F85905" w:rsidP="00F8590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Develop legal storytelling skills </w:t>
      </w:r>
      <w:r w:rsidR="007652F9">
        <w:rPr>
          <w:b/>
          <w:bCs/>
          <w:i/>
          <w:iCs/>
        </w:rPr>
        <w:t>important in law practice and legal argumentation</w:t>
      </w:r>
      <w:r>
        <w:rPr>
          <w:b/>
          <w:bCs/>
          <w:i/>
          <w:iCs/>
        </w:rPr>
        <w:t>.</w:t>
      </w:r>
    </w:p>
    <w:p w14:paraId="4EBCF8BB" w14:textId="74D17A0B" w:rsidR="00BC4307" w:rsidRDefault="00BC4307" w:rsidP="00E37A98">
      <w:pPr>
        <w:rPr>
          <w:b/>
          <w:bCs/>
          <w:i/>
          <w:iCs/>
        </w:rPr>
      </w:pPr>
    </w:p>
    <w:p w14:paraId="5A4E8CB4" w14:textId="711CFAFF" w:rsidR="00BC4307" w:rsidRDefault="00BC4307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I look forward to working with you this semester.</w:t>
      </w:r>
    </w:p>
    <w:p w14:paraId="41776D07" w14:textId="3F0D5A87" w:rsidR="00E37A98" w:rsidRDefault="00E37A98" w:rsidP="00E37A98">
      <w:pPr>
        <w:rPr>
          <w:b/>
          <w:bCs/>
          <w:i/>
          <w:iCs/>
        </w:rPr>
      </w:pPr>
    </w:p>
    <w:p w14:paraId="7E56C1DC" w14:textId="61580670" w:rsidR="00D24CF5" w:rsidRDefault="00D24CF5" w:rsidP="00E37A98">
      <w:pPr>
        <w:rPr>
          <w:b/>
          <w:bCs/>
          <w:i/>
          <w:iCs/>
        </w:rPr>
      </w:pPr>
    </w:p>
    <w:p w14:paraId="08FBD7B9" w14:textId="44FF6CF0" w:rsidR="00D24CF5" w:rsidRDefault="00D24CF5" w:rsidP="00E37A98">
      <w:pPr>
        <w:rPr>
          <w:b/>
          <w:bCs/>
          <w:i/>
          <w:iCs/>
        </w:rPr>
      </w:pPr>
    </w:p>
    <w:p w14:paraId="160319B1" w14:textId="0FFD615D" w:rsidR="00DE5F91" w:rsidRDefault="00DE5F91" w:rsidP="00E37A98">
      <w:pPr>
        <w:rPr>
          <w:b/>
          <w:bCs/>
          <w:i/>
          <w:iCs/>
        </w:rPr>
      </w:pPr>
    </w:p>
    <w:p w14:paraId="068CD9E5" w14:textId="77777777" w:rsidR="00DE5F91" w:rsidRDefault="00DE5F91" w:rsidP="00E37A98">
      <w:pPr>
        <w:rPr>
          <w:b/>
          <w:bCs/>
          <w:i/>
          <w:iCs/>
        </w:rPr>
      </w:pPr>
    </w:p>
    <w:p w14:paraId="63647176" w14:textId="126FE2E1" w:rsidR="00E37A98" w:rsidRDefault="00E37A98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Assignments:</w:t>
      </w:r>
    </w:p>
    <w:p w14:paraId="695F9625" w14:textId="620811AB" w:rsidR="00E37A98" w:rsidRDefault="00E37A98" w:rsidP="00E37A98">
      <w:pPr>
        <w:rPr>
          <w:b/>
          <w:bCs/>
          <w:i/>
          <w:iCs/>
        </w:rPr>
      </w:pPr>
    </w:p>
    <w:p w14:paraId="6A9AAEE6" w14:textId="592F3FA6" w:rsidR="006A2A83" w:rsidRDefault="006A2A8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Part I: Introduction</w:t>
      </w:r>
    </w:p>
    <w:p w14:paraId="04A9B294" w14:textId="77777777" w:rsidR="006A2A83" w:rsidRDefault="006A2A83" w:rsidP="00E37A98">
      <w:pPr>
        <w:rPr>
          <w:b/>
          <w:bCs/>
          <w:i/>
          <w:iCs/>
        </w:rPr>
      </w:pPr>
    </w:p>
    <w:p w14:paraId="68603B58" w14:textId="7CB23BD0" w:rsidR="00E37A98" w:rsidRDefault="00E37A98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#1 – Viewing: “Anatomy of a Murder” (1959)</w:t>
      </w:r>
    </w:p>
    <w:p w14:paraId="4E494550" w14:textId="0C05C3CE" w:rsidR="006A2A83" w:rsidRDefault="006A2A8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Reading:  Studying Law and Popular Culture (Chapter 1 of Casebook), pp. 3-29</w:t>
      </w:r>
    </w:p>
    <w:p w14:paraId="5435779F" w14:textId="7D349820" w:rsidR="006A2A83" w:rsidRDefault="006A2A83" w:rsidP="00E37A98">
      <w:pPr>
        <w:rPr>
          <w:b/>
          <w:bCs/>
          <w:i/>
          <w:iCs/>
        </w:rPr>
      </w:pPr>
    </w:p>
    <w:p w14:paraId="65BD04F3" w14:textId="45B84206" w:rsidR="006A2A83" w:rsidRDefault="006A2A8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Part II: Legal Actors &amp; Institutions</w:t>
      </w:r>
    </w:p>
    <w:p w14:paraId="48C9B7D8" w14:textId="77777777" w:rsidR="006A2A83" w:rsidRDefault="006A2A83" w:rsidP="00E37A98">
      <w:pPr>
        <w:rPr>
          <w:b/>
          <w:bCs/>
          <w:i/>
          <w:iCs/>
        </w:rPr>
      </w:pPr>
    </w:p>
    <w:p w14:paraId="4BBD4DCD" w14:textId="32C5A217" w:rsidR="006A2A83" w:rsidRDefault="006A2A8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#2 – Viewing: “The Paper Chase” (1973)</w:t>
      </w:r>
    </w:p>
    <w:p w14:paraId="62E82119" w14:textId="172B5A58" w:rsidR="006A2A8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Reading: Law Students (Chapter 2), pp. 33-69</w:t>
      </w:r>
    </w:p>
    <w:p w14:paraId="7535A1BB" w14:textId="258A72E1" w:rsidR="007D13C3" w:rsidRDefault="007D13C3" w:rsidP="00E37A98">
      <w:pPr>
        <w:rPr>
          <w:b/>
          <w:bCs/>
          <w:i/>
          <w:iCs/>
        </w:rPr>
      </w:pPr>
    </w:p>
    <w:p w14:paraId="4B65E39A" w14:textId="7402B226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#3 – Viewing: “The Verdict” (1982)</w:t>
      </w:r>
    </w:p>
    <w:p w14:paraId="26794F0C" w14:textId="1AEFED71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Reading: Lawyers (Chapter 3), pp. 71-117</w:t>
      </w:r>
    </w:p>
    <w:p w14:paraId="0174B90F" w14:textId="75EC1FFB" w:rsidR="007D13C3" w:rsidRDefault="007D13C3" w:rsidP="00E37A98">
      <w:pPr>
        <w:rPr>
          <w:b/>
          <w:bCs/>
          <w:i/>
          <w:iCs/>
        </w:rPr>
      </w:pPr>
    </w:p>
    <w:p w14:paraId="7F7D4AB4" w14:textId="77777777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#4 – Viewing: “Just Mercy” (2019)</w:t>
      </w:r>
    </w:p>
    <w:p w14:paraId="6AFE7A3F" w14:textId="77777777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Reading: Clients (Chapter 4), pp. 119-160</w:t>
      </w:r>
    </w:p>
    <w:p w14:paraId="2CC9531B" w14:textId="77777777" w:rsidR="007D13C3" w:rsidRDefault="007D13C3" w:rsidP="00E37A98">
      <w:pPr>
        <w:rPr>
          <w:b/>
          <w:bCs/>
          <w:i/>
          <w:iCs/>
        </w:rPr>
      </w:pPr>
    </w:p>
    <w:p w14:paraId="441F9767" w14:textId="77777777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#5 – Viewing: “Witness for the Prosecution” (1957)</w:t>
      </w:r>
    </w:p>
    <w:p w14:paraId="308ED228" w14:textId="6D6378AB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Reading</w:t>
      </w:r>
      <w:r w:rsidR="008A2A1B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Witnesses (Chapter 5), pp. 161-193</w:t>
      </w:r>
    </w:p>
    <w:p w14:paraId="7BA38E84" w14:textId="77777777" w:rsidR="007D13C3" w:rsidRDefault="007D13C3" w:rsidP="00E37A98">
      <w:pPr>
        <w:rPr>
          <w:b/>
          <w:bCs/>
          <w:i/>
          <w:iCs/>
        </w:rPr>
      </w:pPr>
    </w:p>
    <w:p w14:paraId="4F53FDF8" w14:textId="77777777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#6 – Viewing: “Judgment at Nuremberg” (1961)</w:t>
      </w:r>
    </w:p>
    <w:p w14:paraId="115EFAEB" w14:textId="1C1925F8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Reading</w:t>
      </w:r>
      <w:r w:rsidR="008A2A1B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Judges (Chapter 6), pp. 195-237</w:t>
      </w:r>
    </w:p>
    <w:p w14:paraId="5EF193F6" w14:textId="77777777" w:rsidR="007D13C3" w:rsidRDefault="007D13C3" w:rsidP="00E37A98">
      <w:pPr>
        <w:rPr>
          <w:b/>
          <w:bCs/>
          <w:i/>
          <w:iCs/>
        </w:rPr>
      </w:pPr>
    </w:p>
    <w:p w14:paraId="19A4F58D" w14:textId="40B83E80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#7 – Viewing: “12 Angry Men” (1957)</w:t>
      </w:r>
    </w:p>
    <w:p w14:paraId="77D8DFF8" w14:textId="77777777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Reading: Juries (Chapter 7), pp. 239-294</w:t>
      </w:r>
    </w:p>
    <w:p w14:paraId="05E4C972" w14:textId="77777777" w:rsidR="007D13C3" w:rsidRDefault="007D13C3" w:rsidP="00E37A98">
      <w:pPr>
        <w:rPr>
          <w:b/>
          <w:bCs/>
          <w:i/>
          <w:iCs/>
        </w:rPr>
      </w:pPr>
    </w:p>
    <w:p w14:paraId="3F78BBD4" w14:textId="58012806" w:rsidR="007D13C3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#8 – Viewing: “</w:t>
      </w:r>
      <w:r w:rsidR="00482450">
        <w:rPr>
          <w:b/>
          <w:bCs/>
          <w:i/>
          <w:iCs/>
        </w:rPr>
        <w:t>I Want to Live!</w:t>
      </w:r>
      <w:r>
        <w:rPr>
          <w:b/>
          <w:bCs/>
          <w:i/>
          <w:iCs/>
        </w:rPr>
        <w:t>” (</w:t>
      </w:r>
      <w:r w:rsidR="00892BCD">
        <w:rPr>
          <w:b/>
          <w:bCs/>
          <w:i/>
          <w:iCs/>
        </w:rPr>
        <w:t>19</w:t>
      </w:r>
      <w:r w:rsidR="00482450">
        <w:rPr>
          <w:b/>
          <w:bCs/>
          <w:i/>
          <w:iCs/>
        </w:rPr>
        <w:t>58</w:t>
      </w:r>
      <w:r>
        <w:rPr>
          <w:b/>
          <w:bCs/>
          <w:i/>
          <w:iCs/>
        </w:rPr>
        <w:t>)</w:t>
      </w:r>
    </w:p>
    <w:p w14:paraId="119974A9" w14:textId="7D1F457C" w:rsidR="008A2A1B" w:rsidRDefault="007D13C3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</w:t>
      </w:r>
      <w:r w:rsidR="008A2A1B">
        <w:rPr>
          <w:b/>
          <w:bCs/>
          <w:i/>
          <w:iCs/>
        </w:rPr>
        <w:t>Reading: Punishment (Chapter</w:t>
      </w:r>
      <w:r w:rsidR="006B3A9F">
        <w:rPr>
          <w:b/>
          <w:bCs/>
          <w:i/>
          <w:iCs/>
        </w:rPr>
        <w:t xml:space="preserve"> </w:t>
      </w:r>
      <w:r w:rsidR="008A2A1B">
        <w:rPr>
          <w:b/>
          <w:bCs/>
          <w:i/>
          <w:iCs/>
        </w:rPr>
        <w:t>8), pp. 295-329</w:t>
      </w:r>
    </w:p>
    <w:p w14:paraId="485DF804" w14:textId="77777777" w:rsidR="008A2A1B" w:rsidRDefault="008A2A1B" w:rsidP="00E37A98">
      <w:pPr>
        <w:rPr>
          <w:b/>
          <w:bCs/>
          <w:i/>
          <w:iCs/>
        </w:rPr>
      </w:pPr>
    </w:p>
    <w:p w14:paraId="1B42F3D7" w14:textId="77777777" w:rsidR="008A2A1B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Part III: Legal Subject Areas:</w:t>
      </w:r>
    </w:p>
    <w:p w14:paraId="4A64CC3C" w14:textId="77777777" w:rsidR="008A2A1B" w:rsidRDefault="008A2A1B" w:rsidP="00E37A98">
      <w:pPr>
        <w:rPr>
          <w:b/>
          <w:bCs/>
          <w:i/>
          <w:iCs/>
        </w:rPr>
      </w:pPr>
    </w:p>
    <w:p w14:paraId="2D63B024" w14:textId="77777777" w:rsidR="008A2A1B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#9 – Viewing:</w:t>
      </w:r>
      <w:r w:rsidR="007D13C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“A Civil Action”</w:t>
      </w:r>
    </w:p>
    <w:p w14:paraId="1BD665D4" w14:textId="77777777" w:rsidR="008A2A1B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Reading: Tort Law (Chapter 9), pp. 333-363</w:t>
      </w:r>
    </w:p>
    <w:p w14:paraId="12512035" w14:textId="77777777" w:rsidR="008A2A1B" w:rsidRDefault="008A2A1B" w:rsidP="00E37A98">
      <w:pPr>
        <w:rPr>
          <w:b/>
          <w:bCs/>
          <w:i/>
          <w:iCs/>
        </w:rPr>
      </w:pPr>
    </w:p>
    <w:p w14:paraId="2C2C1DB2" w14:textId="6ADD01B6" w:rsidR="008A2A1B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#10 – Viewing: “Marshall” (201</w:t>
      </w:r>
      <w:r w:rsidR="00B368E2">
        <w:rPr>
          <w:b/>
          <w:bCs/>
          <w:i/>
          <w:iCs/>
        </w:rPr>
        <w:t>7</w:t>
      </w:r>
      <w:r>
        <w:rPr>
          <w:b/>
          <w:bCs/>
          <w:i/>
          <w:iCs/>
        </w:rPr>
        <w:t>)</w:t>
      </w:r>
    </w:p>
    <w:p w14:paraId="28BEE5E8" w14:textId="77777777" w:rsidR="008A2A1B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Reading: Criminal Law (Chapter 10), pp. 365-405</w:t>
      </w:r>
    </w:p>
    <w:p w14:paraId="525AA5BD" w14:textId="77777777" w:rsidR="008A2A1B" w:rsidRDefault="008A2A1B" w:rsidP="00E37A98">
      <w:pPr>
        <w:rPr>
          <w:b/>
          <w:bCs/>
          <w:i/>
          <w:iCs/>
        </w:rPr>
      </w:pPr>
    </w:p>
    <w:p w14:paraId="5C2E9093" w14:textId="54B034D6" w:rsidR="008A2A1B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#11 – Viewing: “RBG” (201</w:t>
      </w:r>
      <w:r w:rsidR="00AC5A46">
        <w:rPr>
          <w:b/>
          <w:bCs/>
          <w:i/>
          <w:iCs/>
        </w:rPr>
        <w:t>8</w:t>
      </w:r>
      <w:r>
        <w:rPr>
          <w:b/>
          <w:bCs/>
          <w:i/>
          <w:iCs/>
        </w:rPr>
        <w:t>)</w:t>
      </w:r>
    </w:p>
    <w:p w14:paraId="06C325A0" w14:textId="004F154F" w:rsidR="008A2A1B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Re</w:t>
      </w:r>
      <w:r w:rsidR="000B0A6D">
        <w:rPr>
          <w:b/>
          <w:bCs/>
          <w:i/>
          <w:iCs/>
        </w:rPr>
        <w:t>ading</w:t>
      </w:r>
      <w:r>
        <w:rPr>
          <w:b/>
          <w:bCs/>
          <w:i/>
          <w:iCs/>
        </w:rPr>
        <w:t>: Constitutional Law (Chapter 11), pp. 407-458</w:t>
      </w:r>
    </w:p>
    <w:p w14:paraId="65B38B5B" w14:textId="77777777" w:rsidR="008A2A1B" w:rsidRDefault="008A2A1B" w:rsidP="00E37A98">
      <w:pPr>
        <w:rPr>
          <w:b/>
          <w:bCs/>
          <w:i/>
          <w:iCs/>
        </w:rPr>
      </w:pPr>
    </w:p>
    <w:p w14:paraId="6A6EEA29" w14:textId="77777777" w:rsidR="000B0A6D" w:rsidRDefault="008A2A1B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#12 – Viewing: “Kramer v. Kramer”</w:t>
      </w:r>
      <w:r w:rsidR="000B0A6D">
        <w:rPr>
          <w:b/>
          <w:bCs/>
          <w:i/>
          <w:iCs/>
        </w:rPr>
        <w:t xml:space="preserve"> (1979)</w:t>
      </w:r>
    </w:p>
    <w:p w14:paraId="03BE1F53" w14:textId="041334DD" w:rsidR="000B0A6D" w:rsidRDefault="000B0A6D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Reading: Family Law (Chapter 12), pp. 439-457</w:t>
      </w:r>
    </w:p>
    <w:p w14:paraId="1ACA955F" w14:textId="77777777" w:rsidR="000B0A6D" w:rsidRDefault="000B0A6D" w:rsidP="00E37A98">
      <w:pPr>
        <w:rPr>
          <w:b/>
          <w:bCs/>
          <w:i/>
          <w:iCs/>
        </w:rPr>
      </w:pPr>
    </w:p>
    <w:p w14:paraId="01684C2C" w14:textId="435264A8" w:rsidR="000B0A6D" w:rsidRDefault="000B0A6D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#13 – Viewing: “</w:t>
      </w:r>
      <w:r w:rsidR="00A720D1">
        <w:rPr>
          <w:b/>
          <w:bCs/>
          <w:i/>
          <w:iCs/>
        </w:rPr>
        <w:t>Too Big To Fail</w:t>
      </w:r>
      <w:r>
        <w:rPr>
          <w:b/>
          <w:bCs/>
          <w:i/>
          <w:iCs/>
        </w:rPr>
        <w:t>”</w:t>
      </w:r>
      <w:r w:rsidR="00AC5A46">
        <w:rPr>
          <w:b/>
          <w:bCs/>
          <w:i/>
          <w:iCs/>
        </w:rPr>
        <w:t xml:space="preserve"> (201</w:t>
      </w:r>
      <w:r w:rsidR="00F2167B">
        <w:rPr>
          <w:b/>
          <w:bCs/>
          <w:i/>
          <w:iCs/>
        </w:rPr>
        <w:t>1</w:t>
      </w:r>
      <w:r w:rsidR="00AC5A46">
        <w:rPr>
          <w:b/>
          <w:bCs/>
          <w:i/>
          <w:iCs/>
        </w:rPr>
        <w:t>)</w:t>
      </w:r>
    </w:p>
    <w:p w14:paraId="672B67F8" w14:textId="77777777" w:rsidR="000B0A6D" w:rsidRDefault="000B0A6D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Reading: Business Law (Chapter 13), pp. 459-498</w:t>
      </w:r>
    </w:p>
    <w:p w14:paraId="4FF7C0F5" w14:textId="77777777" w:rsidR="000B0A6D" w:rsidRDefault="000B0A6D" w:rsidP="00E37A98">
      <w:pPr>
        <w:rPr>
          <w:b/>
          <w:bCs/>
          <w:i/>
          <w:iCs/>
        </w:rPr>
      </w:pPr>
    </w:p>
    <w:p w14:paraId="39204299" w14:textId="77777777" w:rsidR="000B0A6D" w:rsidRDefault="000B0A6D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>Week #14 – Viewing: “In the Name of the Father” (1993)</w:t>
      </w:r>
    </w:p>
    <w:p w14:paraId="7E93CE7A" w14:textId="7234DD06" w:rsidR="007D13C3" w:rsidRPr="00E37A98" w:rsidRDefault="000B0A6D" w:rsidP="00E37A9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Reading: International Law (Chapter 14), pp. 499-525</w:t>
      </w:r>
      <w:r w:rsidR="007D13C3">
        <w:rPr>
          <w:b/>
          <w:bCs/>
          <w:i/>
          <w:iCs/>
        </w:rPr>
        <w:t xml:space="preserve"> </w:t>
      </w:r>
    </w:p>
    <w:sectPr w:rsidR="007D13C3" w:rsidRPr="00E37A98" w:rsidSect="0096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783"/>
    <w:multiLevelType w:val="hybridMultilevel"/>
    <w:tmpl w:val="33780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221C2"/>
    <w:multiLevelType w:val="hybridMultilevel"/>
    <w:tmpl w:val="4AAE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98"/>
    <w:rsid w:val="000B0A6D"/>
    <w:rsid w:val="00482450"/>
    <w:rsid w:val="005E5094"/>
    <w:rsid w:val="00632035"/>
    <w:rsid w:val="006A2A83"/>
    <w:rsid w:val="006B3A9F"/>
    <w:rsid w:val="007652F9"/>
    <w:rsid w:val="007D13C3"/>
    <w:rsid w:val="007F7FD6"/>
    <w:rsid w:val="008044B9"/>
    <w:rsid w:val="00892BCD"/>
    <w:rsid w:val="00894943"/>
    <w:rsid w:val="008A2A1B"/>
    <w:rsid w:val="00967464"/>
    <w:rsid w:val="00A720D1"/>
    <w:rsid w:val="00A76071"/>
    <w:rsid w:val="00AC5A46"/>
    <w:rsid w:val="00B322E4"/>
    <w:rsid w:val="00B368E2"/>
    <w:rsid w:val="00B84C42"/>
    <w:rsid w:val="00BC38E5"/>
    <w:rsid w:val="00BC4307"/>
    <w:rsid w:val="00D15615"/>
    <w:rsid w:val="00D24CF5"/>
    <w:rsid w:val="00DE5F91"/>
    <w:rsid w:val="00E21157"/>
    <w:rsid w:val="00E37A98"/>
    <w:rsid w:val="00F2167B"/>
    <w:rsid w:val="00F73BF9"/>
    <w:rsid w:val="00F77D14"/>
    <w:rsid w:val="00F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25AE7"/>
  <w15:chartTrackingRefBased/>
  <w15:docId w15:val="{75331B17-ED49-B048-9F47-3241F73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C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C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capps@vermontla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aron@vermontla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eyer@vermontlaw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meyer6104@aol.com" TargetMode="External"/><Relationship Id="rId10" Type="http://schemas.openxmlformats.org/officeDocument/2006/relationships/hyperlink" Target="mailto:lenacapps@vermontla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eyer@vermont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Dubreuil</cp:lastModifiedBy>
  <cp:revision>2</cp:revision>
  <dcterms:created xsi:type="dcterms:W3CDTF">2020-08-03T19:59:00Z</dcterms:created>
  <dcterms:modified xsi:type="dcterms:W3CDTF">2020-08-03T19:59:00Z</dcterms:modified>
</cp:coreProperties>
</file>